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6E" w:rsidRPr="00EA395B" w:rsidRDefault="00DD0E6E" w:rsidP="00481BA0">
      <w:pPr>
        <w:pStyle w:val="ab"/>
        <w:ind w:left="-567" w:right="-14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b/>
          <w:sz w:val="24"/>
          <w:szCs w:val="24"/>
          <w:lang w:val="uk-UA"/>
        </w:rPr>
        <w:t>ПАМ’ЯТКА</w:t>
      </w:r>
    </w:p>
    <w:p w:rsidR="00F46840" w:rsidRPr="00EA395B" w:rsidRDefault="005851F8" w:rsidP="00F46840">
      <w:pPr>
        <w:pStyle w:val="ab"/>
        <w:ind w:left="-567" w:right="-14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b/>
          <w:sz w:val="24"/>
          <w:szCs w:val="24"/>
          <w:lang w:val="uk-UA"/>
        </w:rPr>
        <w:t>ПРАЦІВНИКАМ  ДЕРЖАВНОГО ПІДПРИЄМСТВА «УКРКОМУНОБСЛУГОВУВАННЯ»</w:t>
      </w:r>
    </w:p>
    <w:p w:rsidR="00402C1B" w:rsidRPr="00EA395B" w:rsidRDefault="00F46840" w:rsidP="00F46840">
      <w:pPr>
        <w:pStyle w:val="ab"/>
        <w:ind w:left="-567" w:right="-144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A395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F46840" w:rsidRPr="00EA395B" w:rsidRDefault="00402C1B" w:rsidP="00F46840">
      <w:pPr>
        <w:pStyle w:val="ab"/>
        <w:ind w:left="-567" w:right="-144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DD1668" w:rsidRPr="00EA395B"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 дотримання вимог Закону України «Про запобігання корупції» в частині здійснення повідомлення викривачів, гарантії державного захисту їхніх прав, видів правової допомоги викривачам</w:t>
      </w:r>
      <w:r w:rsidR="00F46840" w:rsidRPr="00EA395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DD1668" w:rsidRPr="00EA395B" w:rsidRDefault="00DD1668" w:rsidP="00F46840">
      <w:pPr>
        <w:pStyle w:val="ab"/>
        <w:ind w:left="-567" w:right="-144"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Державний захист осіб, які надають допомогу в запобіганні і протидії корупції здійснюється відповідно до статті 53 Закону України «Про запобігання корупції» (далі -Закон).</w:t>
      </w: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Особи, які надають допомогу в запобіганні і протидії корупції, перебувають під захистом держави. За наявності загрози життю, житлу, здоров’ю та майну осіб, які надають допомогу в запобіганні і протидії корупції, або їх близьких осіб, у зв’язку із здійсненим повідомленням про порушення вимог цього Закону, правоохоронними органами до них можуть бути застосовані правові, організаційно-технічні та інші спрямовані на захист від протиправних посягань заход</w:t>
      </w:r>
      <w:r w:rsidR="009B46B9" w:rsidRPr="00EA395B">
        <w:rPr>
          <w:rFonts w:ascii="Times New Roman" w:hAnsi="Times New Roman" w:cs="Times New Roman"/>
          <w:sz w:val="24"/>
          <w:szCs w:val="24"/>
          <w:lang w:val="uk-UA"/>
        </w:rPr>
        <w:t>и, передбачені Законом України «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Про забезпечення безпеки осіб, які беруть участь у кримінальному судочин</w:t>
      </w:r>
      <w:r w:rsidR="009B46B9" w:rsidRPr="00EA395B">
        <w:rPr>
          <w:rFonts w:ascii="Times New Roman" w:hAnsi="Times New Roman" w:cs="Times New Roman"/>
          <w:sz w:val="24"/>
          <w:szCs w:val="24"/>
          <w:lang w:val="uk-UA"/>
        </w:rPr>
        <w:t>стві»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Для захисту прав та представництва своїх інтересів викривач може користуватися </w:t>
      </w:r>
      <w:r w:rsidRPr="00EA395B">
        <w:rPr>
          <w:rFonts w:ascii="Times New Roman" w:hAnsi="Times New Roman" w:cs="Times New Roman"/>
          <w:sz w:val="24"/>
          <w:szCs w:val="24"/>
          <w:u w:val="single"/>
          <w:lang w:val="uk-UA"/>
        </w:rPr>
        <w:t>всіма видами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95B">
        <w:rPr>
          <w:rFonts w:ascii="Times New Roman" w:hAnsi="Times New Roman" w:cs="Times New Roman"/>
          <w:sz w:val="24"/>
          <w:szCs w:val="24"/>
          <w:u w:val="single"/>
          <w:lang w:val="uk-UA"/>
        </w:rPr>
        <w:t>правової допомоги</w:t>
      </w:r>
      <w:r w:rsidR="009B46B9" w:rsidRPr="00EA395B">
        <w:rPr>
          <w:rFonts w:ascii="Times New Roman" w:hAnsi="Times New Roman" w:cs="Times New Roman"/>
          <w:sz w:val="24"/>
          <w:szCs w:val="24"/>
          <w:lang w:val="uk-UA"/>
        </w:rPr>
        <w:t>, передбаченої Законом України «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Про безоплатну правову допомогу</w:t>
      </w:r>
      <w:r w:rsidR="009B46B9" w:rsidRPr="00EA395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, або залучити адвоката самостійно.</w:t>
      </w: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Національне агентство в разі звернення викривача здійснює представництво в суді інтересів викривача у випадках, якщо викривач неспроможний самостійно захистити свої порушені чи оспорювані права або реалізувати процесуальні повноваження, а представники або органи, яким законом надано право захищати права, свободи та інтереси викривача, не здійснюють або неналежним чином здійснюють його захист.</w:t>
      </w: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Особа або член її сім’ї не може бути звільнена чи примушена до звільнення, притягнута до дисциплінарної відповідальності чи піддана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загрозі таких заходів впливу у зв’язку з повідомленням нею про порушення вимог Закону іншою особою. </w:t>
      </w:r>
    </w:p>
    <w:p w:rsidR="00DD1668" w:rsidRPr="00EA395B" w:rsidRDefault="00DD1668" w:rsidP="00DD1668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Інформація про викривача може бути розголошена лише за його згодою, крім випадків, встановлених законом.</w:t>
      </w:r>
    </w:p>
    <w:p w:rsidR="000D599F" w:rsidRPr="00EA395B" w:rsidRDefault="000D599F" w:rsidP="009B46B9">
      <w:pPr>
        <w:tabs>
          <w:tab w:val="left" w:pos="255"/>
        </w:tabs>
        <w:ind w:left="-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i/>
          <w:sz w:val="24"/>
          <w:szCs w:val="24"/>
          <w:lang w:val="uk-UA"/>
        </w:rPr>
        <w:t>Стаття Закону 53</w:t>
      </w:r>
      <w:r w:rsidRPr="00EA395B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>3</w:t>
      </w:r>
      <w:r w:rsidRPr="00EA39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містить права та гарантії захисту викривача</w:t>
      </w:r>
    </w:p>
    <w:p w:rsidR="000D599F" w:rsidRPr="00EA395B" w:rsidRDefault="000D599F" w:rsidP="009B46B9">
      <w:pPr>
        <w:pStyle w:val="ab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1. 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Закону.</w:t>
      </w:r>
    </w:p>
    <w:p w:rsidR="000D599F" w:rsidRPr="00EA395B" w:rsidRDefault="000D599F" w:rsidP="009B46B9">
      <w:pPr>
        <w:pStyle w:val="ab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2. Викривач має право: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1) бути повідомленим про свої пра</w:t>
      </w:r>
      <w:r w:rsidR="009B46B9" w:rsidRPr="00EA395B">
        <w:rPr>
          <w:rFonts w:ascii="Times New Roman" w:hAnsi="Times New Roman" w:cs="Times New Roman"/>
          <w:sz w:val="24"/>
          <w:szCs w:val="24"/>
          <w:lang w:val="uk-UA"/>
        </w:rPr>
        <w:t>ва та обов’язки, передбачені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Законом;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2) подавати докази на підтвердження своєї заяви;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3) отримувати від уповноваженого органу, до якого він подав повідомлення, підтвердження його прийняття і реєстрації;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4) давати пояснення, свідчення або відмовитися їх давати;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EA395B">
        <w:rPr>
          <w:rFonts w:ascii="Times New Roman" w:hAnsi="Times New Roman" w:cs="Times New Roman"/>
          <w:sz w:val="24"/>
          <w:szCs w:val="24"/>
          <w:u w:val="single"/>
          <w:lang w:val="uk-UA"/>
        </w:rPr>
        <w:t>на безоплатну правову допомогу у зв’язку із захистом прав викривача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6) на конфіденційність;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lastRenderedPageBreak/>
        <w:t>7) повідомляти про можливі факти корупційних або пов’язаних з корупцією правопорушень, інших порушень цього Закону без зазначення відомостей про себе (анонімно);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8) 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9) 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10) на винагороду у визначених законом випадках;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11) на отримання психологічної допомоги;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12) на звільнення від юридичної відповідальності у визначених законом випадках;</w:t>
      </w:r>
    </w:p>
    <w:p w:rsidR="000D599F" w:rsidRPr="00EA395B" w:rsidRDefault="000D599F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13) отримувати інформацію про стан та результати розгляду, перевірки та/або розслідування за фактом повідомлення ним інформації.</w:t>
      </w:r>
    </w:p>
    <w:p w:rsidR="004A41AA" w:rsidRPr="00EA395B" w:rsidRDefault="000D599F" w:rsidP="009B46B9">
      <w:pPr>
        <w:tabs>
          <w:tab w:val="left" w:pos="-567"/>
        </w:tabs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3. Права та гарантії захисту викривачів поширюються на близьких осіб викривача.</w:t>
      </w:r>
    </w:p>
    <w:p w:rsidR="009B46B9" w:rsidRPr="00EA395B" w:rsidRDefault="009B46B9" w:rsidP="009B46B9">
      <w:pPr>
        <w:tabs>
          <w:tab w:val="left" w:pos="255"/>
        </w:tabs>
        <w:ind w:left="-56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B46B9" w:rsidRPr="00EA395B" w:rsidRDefault="009B46B9" w:rsidP="009B46B9">
      <w:pPr>
        <w:tabs>
          <w:tab w:val="left" w:pos="255"/>
        </w:tabs>
        <w:ind w:left="-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Відповідно до частини 2 статті 13 Закону України «Про безоплатну правову допомогу) безоплатна вторинна правова допомога включає такі види правових послуг: </w:t>
      </w:r>
    </w:p>
    <w:p w:rsidR="009B46B9" w:rsidRPr="00EA395B" w:rsidRDefault="009B46B9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1) захист від обвинувачення;</w:t>
      </w:r>
    </w:p>
    <w:p w:rsidR="009B46B9" w:rsidRPr="00EA395B" w:rsidRDefault="009B46B9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2) здійснення представництва інтересів у судах, інших державних органах, органах місцевого самоврядування, перед іншими особами;</w:t>
      </w:r>
    </w:p>
    <w:p w:rsidR="009B46B9" w:rsidRPr="00EA395B" w:rsidRDefault="009B46B9" w:rsidP="009B46B9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>3) складення документів процесуального характеру.</w:t>
      </w:r>
    </w:p>
    <w:p w:rsidR="009B46B9" w:rsidRPr="00EA395B" w:rsidRDefault="009B46B9" w:rsidP="009B46B9">
      <w:pPr>
        <w:tabs>
          <w:tab w:val="left" w:pos="255"/>
        </w:tabs>
        <w:ind w:left="-567"/>
        <w:rPr>
          <w:rFonts w:ascii="Times New Roman" w:hAnsi="Times New Roman" w:cs="Times New Roman"/>
          <w:sz w:val="24"/>
          <w:szCs w:val="24"/>
          <w:lang w:val="uk-UA"/>
        </w:rPr>
      </w:pPr>
    </w:p>
    <w:p w:rsidR="000D599F" w:rsidRPr="00EA395B" w:rsidRDefault="000D599F" w:rsidP="000D599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про порушення вимог Закону може бути здійснене працівником </w:t>
      </w:r>
      <w:r w:rsidR="005851F8" w:rsidRPr="00EA395B">
        <w:rPr>
          <w:rFonts w:ascii="Times New Roman" w:hAnsi="Times New Roman" w:cs="Times New Roman"/>
          <w:sz w:val="24"/>
          <w:szCs w:val="24"/>
          <w:lang w:val="uk-UA"/>
        </w:rPr>
        <w:t>ДП «Укркомунобслуговування»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без зазначення авторства (анонімно). Вимоги до анонімних повідомлень про порушення вимог Закону та порядок їх розгляду визначаються Законом. Анонімне повідомлення про порушення вимог Закону підлягає розгляду, якщо наведена у ньому інформація стосується конкретної особи, містить фактичні дані, які можуть бути перевірені.</w:t>
      </w:r>
    </w:p>
    <w:p w:rsidR="000D599F" w:rsidRPr="00EA395B" w:rsidRDefault="005851F8" w:rsidP="000D599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ДП «Укркомунобслуговування» </w:t>
      </w:r>
      <w:r w:rsidR="000D599F" w:rsidRPr="00EA395B">
        <w:rPr>
          <w:rFonts w:ascii="Times New Roman" w:hAnsi="Times New Roman" w:cs="Times New Roman"/>
          <w:sz w:val="24"/>
          <w:szCs w:val="24"/>
          <w:lang w:val="uk-UA"/>
        </w:rPr>
        <w:t>забезпечує умови для повідомлень їх працівниками про порушення вимог  Закону іншою особою, зокрема через спеціальні телефонні лінії, офіційні веб-сайти, засоби електронного зв’язку.</w:t>
      </w:r>
    </w:p>
    <w:p w:rsidR="004A41AA" w:rsidRPr="00EA395B" w:rsidRDefault="000D599F" w:rsidP="000D599F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Наразі, </w:t>
      </w:r>
      <w:r w:rsidR="005851F8"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в ДП «Укркомунобслуговування» 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діє спеціальна телефонна лінія, за якою приймаються повідомлення про корупційні правопорушення або правопорушення, пов’язані з корупцією – </w:t>
      </w:r>
      <w:r w:rsidR="005851F8" w:rsidRPr="00EA395B">
        <w:rPr>
          <w:rFonts w:ascii="Times New Roman" w:hAnsi="Times New Roman" w:cs="Times New Roman"/>
          <w:sz w:val="24"/>
          <w:szCs w:val="24"/>
          <w:lang w:val="uk-UA"/>
        </w:rPr>
        <w:t>095 898 0083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>. Режим роботи спеціальної телефонної лінії: з понеділка по п’ятницю з 9 год. 00 хв. до 1</w:t>
      </w:r>
      <w:r w:rsidR="005851F8" w:rsidRPr="00EA395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год. 00 хв. та з 14 год. 00 хв. до 17 год. 00 хв. Електронна поштова скринька: </w:t>
      </w:r>
      <w:hyperlink r:id="rId8" w:history="1">
        <w:r w:rsidR="005851F8" w:rsidRPr="00EA395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oksana.kucherenko777@ukr.net</w:t>
        </w:r>
      </w:hyperlink>
      <w:r w:rsidRPr="00EA395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51F8"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46B9" w:rsidRPr="00EA395B" w:rsidRDefault="009B46B9" w:rsidP="00BA4417">
      <w:pPr>
        <w:ind w:left="-993" w:right="-285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9B46B9" w:rsidRPr="00EA395B" w:rsidRDefault="009B46B9" w:rsidP="00BA4417">
      <w:pPr>
        <w:ind w:left="-993" w:right="-285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25156" w:rsidRPr="00EA395B" w:rsidRDefault="008F55E3" w:rsidP="005851F8">
      <w:pPr>
        <w:ind w:left="-993" w:right="-285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39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Пам’ятка розроблена  </w:t>
      </w:r>
      <w:r w:rsidR="005851F8" w:rsidRPr="00EA395B">
        <w:rPr>
          <w:rFonts w:ascii="Times New Roman" w:hAnsi="Times New Roman" w:cs="Times New Roman"/>
          <w:i/>
          <w:sz w:val="24"/>
          <w:szCs w:val="24"/>
          <w:lang w:val="uk-UA"/>
        </w:rPr>
        <w:t>головним спеціалістом з питань запобігання та виявлення корупції ДП «Укркомунобслуговування»</w:t>
      </w:r>
    </w:p>
    <w:p w:rsidR="00825156" w:rsidRPr="00EA395B" w:rsidRDefault="00825156" w:rsidP="003B16D6">
      <w:pPr>
        <w:tabs>
          <w:tab w:val="left" w:pos="208"/>
          <w:tab w:val="left" w:pos="2022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25156" w:rsidRPr="00EA395B" w:rsidRDefault="00825156" w:rsidP="003B16D6">
      <w:pPr>
        <w:tabs>
          <w:tab w:val="left" w:pos="208"/>
          <w:tab w:val="left" w:pos="2022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825156" w:rsidRPr="00EA395B" w:rsidSect="005851F8">
      <w:headerReference w:type="default" r:id="rId9"/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05" w:rsidRDefault="00732A05" w:rsidP="002204A7">
      <w:pPr>
        <w:spacing w:after="0" w:line="240" w:lineRule="auto"/>
      </w:pPr>
      <w:r>
        <w:separator/>
      </w:r>
    </w:p>
  </w:endnote>
  <w:endnote w:type="continuationSeparator" w:id="0">
    <w:p w:rsidR="00732A05" w:rsidRDefault="00732A05" w:rsidP="0022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05" w:rsidRDefault="00732A05" w:rsidP="002204A7">
      <w:pPr>
        <w:spacing w:after="0" w:line="240" w:lineRule="auto"/>
      </w:pPr>
      <w:r>
        <w:separator/>
      </w:r>
    </w:p>
  </w:footnote>
  <w:footnote w:type="continuationSeparator" w:id="0">
    <w:p w:rsidR="00732A05" w:rsidRDefault="00732A05" w:rsidP="0022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596444"/>
      <w:docPartObj>
        <w:docPartGallery w:val="Page Numbers (Top of Page)"/>
        <w:docPartUnique/>
      </w:docPartObj>
    </w:sdtPr>
    <w:sdtEndPr/>
    <w:sdtContent>
      <w:p w:rsidR="0082134F" w:rsidRDefault="008213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B9">
          <w:rPr>
            <w:noProof/>
          </w:rPr>
          <w:t>3</w:t>
        </w:r>
        <w:r>
          <w:fldChar w:fldCharType="end"/>
        </w:r>
      </w:p>
    </w:sdtContent>
  </w:sdt>
  <w:p w:rsidR="0082134F" w:rsidRDefault="008213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A8A"/>
    <w:multiLevelType w:val="hybridMultilevel"/>
    <w:tmpl w:val="B2C6C72E"/>
    <w:lvl w:ilvl="0" w:tplc="5F34DE3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4A5747E"/>
    <w:multiLevelType w:val="hybridMultilevel"/>
    <w:tmpl w:val="5EA8BDB2"/>
    <w:lvl w:ilvl="0" w:tplc="F650F0B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0294EFF"/>
    <w:multiLevelType w:val="hybridMultilevel"/>
    <w:tmpl w:val="A628F6B4"/>
    <w:lvl w:ilvl="0" w:tplc="08E0CB8E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3D6B7941"/>
    <w:multiLevelType w:val="hybridMultilevel"/>
    <w:tmpl w:val="13A63736"/>
    <w:lvl w:ilvl="0" w:tplc="6158F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21CB"/>
    <w:multiLevelType w:val="hybridMultilevel"/>
    <w:tmpl w:val="6DB65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3"/>
    <w:rsid w:val="00030D7F"/>
    <w:rsid w:val="00044B97"/>
    <w:rsid w:val="00084528"/>
    <w:rsid w:val="0009572B"/>
    <w:rsid w:val="000B19EA"/>
    <w:rsid w:val="000D599F"/>
    <w:rsid w:val="00135747"/>
    <w:rsid w:val="001B1DFA"/>
    <w:rsid w:val="001B781B"/>
    <w:rsid w:val="00205E3B"/>
    <w:rsid w:val="002204A7"/>
    <w:rsid w:val="00225881"/>
    <w:rsid w:val="00256C63"/>
    <w:rsid w:val="002579E2"/>
    <w:rsid w:val="002925B2"/>
    <w:rsid w:val="002A460D"/>
    <w:rsid w:val="002F7CE7"/>
    <w:rsid w:val="00304B27"/>
    <w:rsid w:val="00317D0D"/>
    <w:rsid w:val="00357179"/>
    <w:rsid w:val="003A5AF2"/>
    <w:rsid w:val="003B16D6"/>
    <w:rsid w:val="003F3A61"/>
    <w:rsid w:val="00402C1B"/>
    <w:rsid w:val="00450304"/>
    <w:rsid w:val="00481BA0"/>
    <w:rsid w:val="004A41AA"/>
    <w:rsid w:val="004B191E"/>
    <w:rsid w:val="004C36C3"/>
    <w:rsid w:val="004F25A5"/>
    <w:rsid w:val="005114DD"/>
    <w:rsid w:val="005851F8"/>
    <w:rsid w:val="00586E04"/>
    <w:rsid w:val="005B2B9A"/>
    <w:rsid w:val="005E0B6F"/>
    <w:rsid w:val="00603B51"/>
    <w:rsid w:val="00614440"/>
    <w:rsid w:val="006359B3"/>
    <w:rsid w:val="006375F4"/>
    <w:rsid w:val="00660BCA"/>
    <w:rsid w:val="006641D5"/>
    <w:rsid w:val="006669B1"/>
    <w:rsid w:val="00696A78"/>
    <w:rsid w:val="006C3B29"/>
    <w:rsid w:val="006F61AE"/>
    <w:rsid w:val="00732A05"/>
    <w:rsid w:val="0075486D"/>
    <w:rsid w:val="0082134F"/>
    <w:rsid w:val="00825156"/>
    <w:rsid w:val="00870B49"/>
    <w:rsid w:val="008A1B6A"/>
    <w:rsid w:val="008B031C"/>
    <w:rsid w:val="008F55E3"/>
    <w:rsid w:val="009338EC"/>
    <w:rsid w:val="009475FD"/>
    <w:rsid w:val="009606C6"/>
    <w:rsid w:val="00964975"/>
    <w:rsid w:val="00970AB7"/>
    <w:rsid w:val="009730B6"/>
    <w:rsid w:val="0099540D"/>
    <w:rsid w:val="009B46B9"/>
    <w:rsid w:val="00A25D8B"/>
    <w:rsid w:val="00A7562C"/>
    <w:rsid w:val="00AC120C"/>
    <w:rsid w:val="00AC5131"/>
    <w:rsid w:val="00AC6271"/>
    <w:rsid w:val="00B10E6C"/>
    <w:rsid w:val="00B528EC"/>
    <w:rsid w:val="00BA4417"/>
    <w:rsid w:val="00BD5C57"/>
    <w:rsid w:val="00BD60AC"/>
    <w:rsid w:val="00BF4528"/>
    <w:rsid w:val="00C23128"/>
    <w:rsid w:val="00C4309A"/>
    <w:rsid w:val="00C81E19"/>
    <w:rsid w:val="00C877A4"/>
    <w:rsid w:val="00CC26E9"/>
    <w:rsid w:val="00D96DBF"/>
    <w:rsid w:val="00DB44A6"/>
    <w:rsid w:val="00DB6C55"/>
    <w:rsid w:val="00DC3D7E"/>
    <w:rsid w:val="00DD0E6E"/>
    <w:rsid w:val="00DD1668"/>
    <w:rsid w:val="00DF49CD"/>
    <w:rsid w:val="00E16040"/>
    <w:rsid w:val="00E45F1F"/>
    <w:rsid w:val="00E7479F"/>
    <w:rsid w:val="00E754EF"/>
    <w:rsid w:val="00EA395B"/>
    <w:rsid w:val="00ED3552"/>
    <w:rsid w:val="00F10934"/>
    <w:rsid w:val="00F2299A"/>
    <w:rsid w:val="00F46840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60AB-9323-428A-84E1-F96CD67A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204A7"/>
  </w:style>
  <w:style w:type="paragraph" w:styleId="a6">
    <w:name w:val="footer"/>
    <w:basedOn w:val="a"/>
    <w:link w:val="a7"/>
    <w:uiPriority w:val="99"/>
    <w:unhideWhenUsed/>
    <w:rsid w:val="0022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204A7"/>
  </w:style>
  <w:style w:type="paragraph" w:customStyle="1" w:styleId="rvps2">
    <w:name w:val="rvps2"/>
    <w:basedOn w:val="a"/>
    <w:rsid w:val="0066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669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515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C120C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58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kucherenko777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56A1-E0D9-4A3E-A200-821BE3A2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3281</Words>
  <Characters>1871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</cp:revision>
  <cp:lastPrinted>2024-08-06T09:33:00Z</cp:lastPrinted>
  <dcterms:created xsi:type="dcterms:W3CDTF">2024-08-06T09:35:00Z</dcterms:created>
  <dcterms:modified xsi:type="dcterms:W3CDTF">2024-08-06T12:28:00Z</dcterms:modified>
</cp:coreProperties>
</file>